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E" w:rsidRPr="003A499C" w:rsidRDefault="00F55D2E" w:rsidP="00F55D2E">
      <w:pPr>
        <w:ind w:left="0"/>
        <w:jc w:val="center"/>
        <w:rPr>
          <w:b/>
          <w:szCs w:val="24"/>
        </w:rPr>
      </w:pPr>
      <w:r w:rsidRPr="003A499C">
        <w:rPr>
          <w:b/>
          <w:szCs w:val="24"/>
        </w:rPr>
        <w:t>Аннотация к рабочей программе по изобразительному искусству</w:t>
      </w:r>
    </w:p>
    <w:p w:rsidR="00F55D2E" w:rsidRPr="003A499C" w:rsidRDefault="00F55D2E" w:rsidP="00F55D2E">
      <w:pPr>
        <w:ind w:left="0"/>
        <w:jc w:val="both"/>
        <w:rPr>
          <w:szCs w:val="24"/>
        </w:rPr>
      </w:pPr>
      <w:r w:rsidRPr="003A499C">
        <w:rPr>
          <w:szCs w:val="24"/>
        </w:rPr>
        <w:t xml:space="preserve"> </w:t>
      </w:r>
    </w:p>
    <w:p w:rsidR="00F55D2E" w:rsidRPr="003A499C" w:rsidRDefault="00F55D2E" w:rsidP="00F55D2E">
      <w:pPr>
        <w:ind w:left="0"/>
        <w:jc w:val="both"/>
        <w:rPr>
          <w:szCs w:val="24"/>
        </w:rPr>
      </w:pPr>
      <w:r w:rsidRPr="003A499C">
        <w:rPr>
          <w:szCs w:val="24"/>
        </w:rPr>
        <w:t>Рабочая программа по изобразительному искусству  рассчитана на 4 года обучения с 5  по 8 класс.</w:t>
      </w:r>
    </w:p>
    <w:p w:rsidR="00F55D2E" w:rsidRPr="003A499C" w:rsidRDefault="00F55D2E" w:rsidP="00F55D2E">
      <w:pPr>
        <w:ind w:left="0"/>
        <w:jc w:val="both"/>
        <w:rPr>
          <w:szCs w:val="24"/>
        </w:rPr>
      </w:pPr>
    </w:p>
    <w:p w:rsidR="00F55D2E" w:rsidRPr="003A499C" w:rsidRDefault="00F55D2E" w:rsidP="00F55D2E">
      <w:pPr>
        <w:ind w:left="0"/>
        <w:jc w:val="center"/>
        <w:rPr>
          <w:szCs w:val="24"/>
        </w:rPr>
      </w:pPr>
      <w:r w:rsidRPr="003A499C">
        <w:rPr>
          <w:szCs w:val="24"/>
        </w:rPr>
        <w:t>Предметные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12"/>
      </w:tblGrid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szCs w:val="24"/>
              </w:rPr>
            </w:pPr>
            <w:r w:rsidRPr="003A499C">
              <w:rPr>
                <w:szCs w:val="24"/>
              </w:rPr>
              <w:t>Класс</w:t>
            </w:r>
          </w:p>
        </w:tc>
        <w:tc>
          <w:tcPr>
            <w:tcW w:w="3663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3A499C">
              <w:rPr>
                <w:szCs w:val="24"/>
              </w:rPr>
              <w:t>Предметные результаты освоения (</w:t>
            </w:r>
            <w:r w:rsidRPr="003A499C">
              <w:rPr>
                <w:i/>
                <w:szCs w:val="24"/>
              </w:rPr>
              <w:t>научится и получит возможность научиться)</w:t>
            </w:r>
          </w:p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color w:val="C00000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 w:val="restar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499C">
              <w:rPr>
                <w:b/>
                <w:szCs w:val="24"/>
              </w:rPr>
              <w:t>5 класс</w:t>
            </w: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эскизы декоративного убранства русской избы;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цветовую композицию внутреннего убранства избы;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самостоятельные варианты орнаментального построения вышивки с опорой на народные традиции;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эскизы народного праздничного костюма, его отдельных элементов в цветовом решении;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основы народного орнамента; создавать орнаменты на основе народных традиций.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и характеризовать несколько народных художественных промыслов России.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 – человек, общество, время.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национальные особенности русского орнамента и орнаментов других народов России;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владеть диалогической формой коммуникации, уметь аргументировать свою точку зрения в процессе изучения изобразительного искусства.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др.).</w:t>
            </w:r>
          </w:p>
        </w:tc>
      </w:tr>
      <w:tr w:rsidR="003A499C" w:rsidRPr="003A499C" w:rsidTr="003A499C">
        <w:tc>
          <w:tcPr>
            <w:tcW w:w="1337" w:type="pct"/>
            <w:vMerge w:val="restart"/>
          </w:tcPr>
          <w:p w:rsidR="003A499C" w:rsidRPr="003A499C" w:rsidRDefault="003A499C" w:rsidP="007A03B3">
            <w:pPr>
              <w:jc w:val="center"/>
              <w:rPr>
                <w:b/>
                <w:szCs w:val="24"/>
              </w:rPr>
            </w:pPr>
            <w:r w:rsidRPr="003A499C">
              <w:rPr>
                <w:b/>
                <w:szCs w:val="24"/>
              </w:rPr>
              <w:t>6 класс</w:t>
            </w:r>
          </w:p>
        </w:tc>
        <w:tc>
          <w:tcPr>
            <w:tcW w:w="3663" w:type="pct"/>
          </w:tcPr>
          <w:p w:rsidR="003A499C" w:rsidRPr="003A499C" w:rsidRDefault="003A499C" w:rsidP="007A03B3">
            <w:pPr>
              <w:jc w:val="center"/>
              <w:rPr>
                <w:rFonts w:eastAsia="Times New Roman"/>
                <w:b/>
                <w:szCs w:val="24"/>
              </w:rPr>
            </w:pPr>
            <w:r w:rsidRPr="003A499C">
              <w:rPr>
                <w:rFonts w:eastAsia="Times New Roman"/>
                <w:b/>
                <w:szCs w:val="24"/>
              </w:rPr>
              <w:t>Виды изобразительного искусства и основы образного языка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jc w:val="center"/>
              <w:rPr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 xml:space="preserve">- классифицировать жанровую систему в изобразительном </w:t>
            </w:r>
            <w:r w:rsidRPr="003A499C">
              <w:rPr>
                <w:rFonts w:ascii="Times New Roman" w:hAnsi="Times New Roman"/>
                <w:sz w:val="24"/>
                <w:szCs w:val="24"/>
              </w:rPr>
              <w:lastRenderedPageBreak/>
              <w:t>искусстве;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образы, используя все выразительные возможности художественных материалов;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пользоваться красками (гуашь, акварель), несколькими графическими материалами (карандаш, тушь), обладать первичными навыками лепки;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владеть диалогической формой коммуникации, уметь аргументировать свою точку зрения в процессе изучения изобразительного искусства.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jc w:val="center"/>
              <w:rPr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приобретать навык плоскостного силуэтного изображения обычных, простых предметов (кухонная утварь);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линейные изображения геометрических тел и натюрморт с натуры из геометрических тел;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строить изображения простых предметов по правилам линейной перспективы;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применять перспективу в практической творческой работе.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Вглядываясь в человека. Портрет.  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и характеризовать виды портрета;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понимать и характеризовать основы изображения головы человека;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пользоваться навыками работы с доступными скульптурными материалами;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использовать графические материалы в работе над портретом;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пользоваться правилами схематического построения головы человека в рисунке;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называть имена выдающихся русских и зарубежных художников - портретистов и определять их произведения.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 xml:space="preserve">- приобретать навык </w:t>
            </w:r>
            <w:proofErr w:type="gramStart"/>
            <w:r w:rsidRPr="003A499C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proofErr w:type="gramEnd"/>
            <w:r w:rsidRPr="003A499C">
              <w:rPr>
                <w:rFonts w:ascii="Times New Roman" w:hAnsi="Times New Roman"/>
                <w:sz w:val="24"/>
                <w:szCs w:val="24"/>
              </w:rPr>
              <w:t xml:space="preserve"> уходящего вдаль пространства, применяя правила линейной и воздушной перспективы;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и характеризовать понятия: пространство, ракурс, воздушная перспектива;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называть имена выдающихся русских художников-пейзажистов XIX века и определять произведения пейзажной живописи.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 w:val="restar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499C">
              <w:rPr>
                <w:b/>
                <w:szCs w:val="24"/>
              </w:rPr>
              <w:t>7 класс</w:t>
            </w: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 xml:space="preserve">- приобретать навык передачи в плоскостном изображении </w:t>
            </w:r>
            <w:r w:rsidRPr="003A499C">
              <w:rPr>
                <w:rFonts w:ascii="Times New Roman" w:hAnsi="Times New Roman"/>
                <w:sz w:val="24"/>
                <w:szCs w:val="24"/>
              </w:rPr>
              <w:lastRenderedPageBreak/>
              <w:t>простых движений фигуры человека;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научиться приемам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Вечные темы и великие исторические события в искусстве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объяснять понятия «тема», «содержание», «сюжет» в произведениях станковой живописи;</w:t>
            </w:r>
          </w:p>
          <w:p w:rsidR="003A499C" w:rsidRPr="003A499C" w:rsidRDefault="003A499C" w:rsidP="007A03B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узнавать и объяснять понятия «тематическая картина», «станковая живопись»;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перечислять и характеризовать основные жанры сюжетно- тематической картины;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значение тематической картины XIX века в развитии русской культуры;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композиции на основе библейских сюжетов;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называть имена великих европейских и русских художников, творивших на библейские темы;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узнавать и характеризовать произведения великих европейских и русских художников на библейские темы;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характеризовать роль монументальных памятников в жизни общества;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называть имена великих русских живописцев и архитекторов XVIII – XIX веков;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называть имена выдающихся русских художников-ваятелей XVIII века и определять скульптурные памятники;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понимать особенности исторического жанра, определять произведения исторической живописи; 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применять творческий опыт разработки художественного проекта – создания композиции на определенную тему; 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владеть диалогической формой коммуникации, уметь аргументировать свою точку зрения в процессе 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изучения изобразительного искусства.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Конструктивное искусство: архитектура и дизайн.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систематизировать и характеризовать основные этапы развития и истории архитектуры и дизайна;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понимать тенденции и перспективы развития современной архитектуры;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и различать малые формы архитектуры и дизайна в пространстве городской среды;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композиционные макеты объектов на предметной плоскости и в пространстве;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приобретать общее представление о традициях ландшафтно-парковой архитектуры;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разнообразные творческие работы (фантазийные конструкции) в материале.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создавать с натуры и по воображению архитектурные образы графическими материалами и др.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полиграфии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различать формы полиграфической продукции: книги, журналы, плакаты, афиши и др.);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проектировать обложку книги, рекламы открытки, визитки и др.;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создавать художественную композицию макета книги, журнала;</w:t>
            </w:r>
            <w:r w:rsidRPr="003A49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sz w:val="24"/>
                <w:szCs w:val="24"/>
              </w:rPr>
              <w:t>- понимать специфику изображений в полиграфии.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Стили, направления и жанры в русском изобразительном искусстве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иметь общее представление и рассказывать об особенностях архитектурно-художественных стилей разных эпох;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анализировать художественно-выразительные средства произведений изобразительного искусства XX века;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использовать в речи новые термины, связанные со стилями в изобразительном искусстве и архитектуре XVIII – XIX веков;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выявлять и называть характерные особенности русской портретной живописи XVIII века;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признаки и особенности московского барокко;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смысл традиций и новаторства в изобразительном искусстве XX века. Модерн. Авангард. Сюрреализм.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истории искусства и истории человечества</w:t>
            </w:r>
          </w:p>
        </w:tc>
      </w:tr>
      <w:tr w:rsidR="003A499C" w:rsidRPr="003A499C" w:rsidTr="003A499C">
        <w:tc>
          <w:tcPr>
            <w:tcW w:w="1337" w:type="pc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разнообразные творческие работы (фантазийные конструкции) в материале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создавать  композиции на определенную тему; 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- характеризовать стиль модерн в архитектуре. Ф.О. </w:t>
            </w:r>
            <w:proofErr w:type="spellStart"/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Шехтель</w:t>
            </w:r>
            <w:proofErr w:type="spellEnd"/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. А. </w:t>
            </w:r>
            <w:proofErr w:type="spellStart"/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Гауди</w:t>
            </w:r>
            <w:proofErr w:type="spellEnd"/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sz w:val="24"/>
                <w:szCs w:val="24"/>
              </w:rPr>
              <w:t>- характеризовать крупнейшие художественные музеи Росси и мира;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sz w:val="24"/>
                <w:szCs w:val="24"/>
              </w:rPr>
              <w:t>- получать представления об особенностях художественных коллекций крупнейших музеев мира.</w:t>
            </w:r>
          </w:p>
        </w:tc>
      </w:tr>
      <w:tr w:rsidR="003A499C" w:rsidRPr="003A499C" w:rsidTr="003A499C">
        <w:tc>
          <w:tcPr>
            <w:tcW w:w="1337" w:type="pct"/>
            <w:vMerge w:val="restart"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3A499C">
              <w:rPr>
                <w:b/>
                <w:szCs w:val="24"/>
              </w:rPr>
              <w:lastRenderedPageBreak/>
              <w:t>8 класс</w:t>
            </w:r>
          </w:p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3A499C">
              <w:rPr>
                <w:b/>
                <w:bCs/>
                <w:szCs w:val="24"/>
              </w:rPr>
              <w:t>.</w:t>
            </w: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Изобразительное искусство и архитектура России </w:t>
            </w: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A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характеризовать особенности одноглавого крестово-купольного храма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узнавать и характеризовать памятники архитектуры Древнего Киева. София Киевская. Фрески. Мозаики.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A49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499C">
              <w:rPr>
                <w:rFonts w:ascii="Times New Roman" w:hAnsi="Times New Roman"/>
                <w:sz w:val="24"/>
                <w:szCs w:val="24"/>
              </w:rPr>
              <w:t>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узнавать и описывать памятники шатрового зодчества;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 xml:space="preserve">- характеризовать особенности церкви Вознесения в селе Коломенском и храма </w:t>
            </w:r>
            <w:proofErr w:type="spellStart"/>
            <w:r w:rsidRPr="003A499C">
              <w:rPr>
                <w:rFonts w:ascii="Times New Roman" w:hAnsi="Times New Roman"/>
                <w:sz w:val="24"/>
                <w:szCs w:val="24"/>
              </w:rPr>
              <w:t>Покрова-на-Рву</w:t>
            </w:r>
            <w:proofErr w:type="spellEnd"/>
            <w:r w:rsidRPr="003A4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различать стилевые особенности разных школ архитектуры Древней Руси;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создавать с натуры и по воображению архитектурные образы графическими материалами и др.;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/>
                <w:sz w:val="24"/>
                <w:szCs w:val="24"/>
              </w:rPr>
              <w:t>- сравнивать, сопоставлять и анализировать произведения живописи Древней Руси;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sz w:val="24"/>
                <w:szCs w:val="24"/>
              </w:rPr>
              <w:t>- рассуждать о значении художественного образа древнерусской культуры.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применять полученные знания о типах оформления сцены при создании школьного спектакля;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понимать основы сценографии как вида художественного творчества;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понимать роль костюма, маски и грима в искусстве актерского перевоплощения;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понимать различия в творческой работе художника-живописца и сценографа;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добиваться в практической работе большей выразительности костюма и его стилевого единства со сценографией спектакля.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Эстафета искусств: от рисунка к фотографии. Эволюция </w:t>
            </w:r>
            <w:r w:rsidRPr="003A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изобразительных искусств и технологий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различать особенности художественной фотографии;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различать выразительные средства художественной фотографии (композиция, план, ракурс, свет, ритм и др.);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пользоваться компьютерной обработкой фотоснимка при исправлении отдельных недочетов и случайностей;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применять полученные ранее знания по композиции и построению кадра.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различать понятия: игровой и документальный фильм;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понимать и объяснять синтетическую природу фильма;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применять первоначальные навыки в создании сценария и замысла фильма.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понимать изобразительную природу экранных искусств;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характеризовать принципы киномонтажа в создании художественного образа;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называть имена мастеров российского кинематографа. С.М. Эйзенштейн. А.А. Тарковский. С.Ф. Бондарчук. Н.С. Михалков;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смотреть и анализировать с точки зрения режиссерского, монтажно-операторского искусства фильмы мастеров.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Телевидение – пространство культуры? Экран – искусство – зритель</w:t>
            </w:r>
          </w:p>
        </w:tc>
      </w:tr>
      <w:tr w:rsidR="003A499C" w:rsidRPr="003A499C" w:rsidTr="003A499C">
        <w:tc>
          <w:tcPr>
            <w:tcW w:w="1337" w:type="pct"/>
            <w:vMerge/>
          </w:tcPr>
          <w:p w:rsidR="003A499C" w:rsidRPr="003A499C" w:rsidRDefault="003A499C" w:rsidP="007A03B3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63" w:type="pct"/>
          </w:tcPr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Cs/>
                <w:sz w:val="24"/>
                <w:szCs w:val="24"/>
              </w:rPr>
              <w:t>- понимать основы искусства телевидения;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использовать опыт документальной съемки и тележурналистики для формирования школьного телевидения;</w:t>
            </w:r>
          </w:p>
          <w:p w:rsidR="003A499C" w:rsidRPr="003A499C" w:rsidRDefault="003A499C" w:rsidP="007A03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99C">
              <w:rPr>
                <w:rFonts w:ascii="Times New Roman" w:hAnsi="Times New Roman"/>
                <w:i/>
                <w:iCs/>
                <w:sz w:val="24"/>
                <w:szCs w:val="24"/>
              </w:rPr>
              <w:t>- реализовывать сценарно-режиссерскую и операторскую грамоту в практике создания видео-этюда.</w:t>
            </w:r>
          </w:p>
        </w:tc>
      </w:tr>
    </w:tbl>
    <w:p w:rsidR="006C076F" w:rsidRPr="003A499C" w:rsidRDefault="006C076F">
      <w:pPr>
        <w:rPr>
          <w:szCs w:val="24"/>
        </w:rPr>
      </w:pPr>
    </w:p>
    <w:sectPr w:rsidR="006C076F" w:rsidRPr="003A499C" w:rsidSect="006C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CFF"/>
    <w:multiLevelType w:val="hybridMultilevel"/>
    <w:tmpl w:val="7D9C58DC"/>
    <w:lvl w:ilvl="0" w:tplc="EF1A5EC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1E82"/>
    <w:multiLevelType w:val="hybridMultilevel"/>
    <w:tmpl w:val="BFF2572C"/>
    <w:lvl w:ilvl="0" w:tplc="B016F1C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0FB6"/>
    <w:multiLevelType w:val="hybridMultilevel"/>
    <w:tmpl w:val="72D01E36"/>
    <w:lvl w:ilvl="0" w:tplc="EF6801B2">
      <w:start w:val="2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2E"/>
    <w:rsid w:val="003A499C"/>
    <w:rsid w:val="006C076F"/>
    <w:rsid w:val="00751AE4"/>
    <w:rsid w:val="00F5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E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99C"/>
    <w:pPr>
      <w:spacing w:after="200" w:line="276" w:lineRule="auto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3A49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2</cp:revision>
  <dcterms:created xsi:type="dcterms:W3CDTF">2020-12-21T06:02:00Z</dcterms:created>
  <dcterms:modified xsi:type="dcterms:W3CDTF">2020-12-21T06:08:00Z</dcterms:modified>
</cp:coreProperties>
</file>